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E6346" w14:textId="30DD9F85" w:rsidR="00C15C62" w:rsidRDefault="00C15C62" w:rsidP="00A66E46"/>
    <w:p w14:paraId="5F7F54A7" w14:textId="2EC24F55" w:rsidR="00A66E46" w:rsidRPr="00C15C62" w:rsidRDefault="00A66E46" w:rsidP="00A66E46">
      <w:pPr>
        <w:rPr>
          <w:rFonts w:ascii="Century Gothic" w:hAnsi="Century Gothic"/>
          <w:sz w:val="32"/>
          <w:szCs w:val="32"/>
        </w:rPr>
      </w:pPr>
      <w:r w:rsidRPr="00C15C62">
        <w:rPr>
          <w:rFonts w:ascii="Century Gothic" w:hAnsi="Century Gothic"/>
          <w:sz w:val="32"/>
          <w:szCs w:val="32"/>
        </w:rPr>
        <w:t>Dal 5 ottobre 2026 prende il via il Censimento permanente della Popolazione e</w:t>
      </w:r>
      <w:r w:rsidR="00C15C62">
        <w:rPr>
          <w:rFonts w:ascii="Century Gothic" w:hAnsi="Century Gothic"/>
          <w:sz w:val="32"/>
          <w:szCs w:val="32"/>
        </w:rPr>
        <w:t xml:space="preserve"> </w:t>
      </w:r>
      <w:r w:rsidRPr="00C15C62">
        <w:rPr>
          <w:rFonts w:ascii="Century Gothic" w:hAnsi="Century Gothic"/>
          <w:sz w:val="32"/>
          <w:szCs w:val="32"/>
        </w:rPr>
        <w:t>delle abitazioni. Un appuntamento importante nell’anno del Centenario dell’Istat.</w:t>
      </w:r>
    </w:p>
    <w:p w14:paraId="40E00CB9" w14:textId="576AB9C1" w:rsidR="00A66E46" w:rsidRPr="00C15C62" w:rsidRDefault="00A66E46" w:rsidP="00A66E46">
      <w:pPr>
        <w:rPr>
          <w:rFonts w:ascii="Century Gothic" w:hAnsi="Century Gothic"/>
          <w:sz w:val="32"/>
          <w:szCs w:val="32"/>
        </w:rPr>
      </w:pPr>
      <w:r w:rsidRPr="00C15C62">
        <w:rPr>
          <w:rFonts w:ascii="Century Gothic" w:hAnsi="Century Gothic"/>
          <w:sz w:val="32"/>
          <w:szCs w:val="32"/>
        </w:rPr>
        <w:t>Anche il nostro Comune è coinvolto: alcune famiglie riceveranno una lettera che le</w:t>
      </w:r>
      <w:r w:rsidR="00C15C62">
        <w:rPr>
          <w:rFonts w:ascii="Century Gothic" w:hAnsi="Century Gothic"/>
          <w:sz w:val="32"/>
          <w:szCs w:val="32"/>
        </w:rPr>
        <w:t xml:space="preserve"> </w:t>
      </w:r>
      <w:r w:rsidRPr="00C15C62">
        <w:rPr>
          <w:rFonts w:ascii="Century Gothic" w:hAnsi="Century Gothic"/>
          <w:sz w:val="32"/>
          <w:szCs w:val="32"/>
        </w:rPr>
        <w:t>inviterà a partecipare con tutte le istruzioni utili.</w:t>
      </w:r>
    </w:p>
    <w:p w14:paraId="6E54F7E3" w14:textId="72459B50" w:rsidR="00A66E46" w:rsidRPr="00C15C62" w:rsidRDefault="00A66E46" w:rsidP="00A66E46">
      <w:pPr>
        <w:rPr>
          <w:rFonts w:ascii="Century Gothic" w:hAnsi="Century Gothic"/>
          <w:sz w:val="32"/>
          <w:szCs w:val="32"/>
        </w:rPr>
      </w:pPr>
      <w:r w:rsidRPr="00C15C62">
        <w:rPr>
          <w:rFonts w:ascii="Century Gothic" w:hAnsi="Century Gothic"/>
          <w:sz w:val="32"/>
          <w:szCs w:val="32"/>
        </w:rPr>
        <w:t>Grazie alle informazioni raccolte, Istat potrà fornire dati aggiornati su:</w:t>
      </w:r>
      <w:r w:rsidR="00C15C62" w:rsidRPr="00C15C62">
        <w:rPr>
          <w:rFonts w:ascii="Century Gothic" w:eastAsia="Times New Roman" w:hAnsi="Century Gothic"/>
          <w:sz w:val="32"/>
          <w:szCs w:val="32"/>
        </w:rPr>
        <w:t xml:space="preserve"> </w:t>
      </w:r>
    </w:p>
    <w:p w14:paraId="4CB6A1C5" w14:textId="77777777" w:rsidR="00A66E46" w:rsidRPr="00C15C62" w:rsidRDefault="00A66E46" w:rsidP="00C15C62">
      <w:pPr>
        <w:pStyle w:val="Paragrafoelenco"/>
        <w:numPr>
          <w:ilvl w:val="0"/>
          <w:numId w:val="1"/>
        </w:numPr>
        <w:rPr>
          <w:rFonts w:ascii="Century Gothic" w:hAnsi="Century Gothic"/>
          <w:sz w:val="32"/>
          <w:szCs w:val="32"/>
        </w:rPr>
      </w:pPr>
      <w:r w:rsidRPr="00C15C62">
        <w:rPr>
          <w:rFonts w:ascii="Century Gothic" w:hAnsi="Century Gothic"/>
          <w:sz w:val="32"/>
          <w:szCs w:val="32"/>
        </w:rPr>
        <w:t>istruzione</w:t>
      </w:r>
    </w:p>
    <w:p w14:paraId="1568E866" w14:textId="77777777" w:rsidR="00A66E46" w:rsidRPr="00C15C62" w:rsidRDefault="00A66E46" w:rsidP="00C15C62">
      <w:pPr>
        <w:pStyle w:val="Paragrafoelenco"/>
        <w:numPr>
          <w:ilvl w:val="0"/>
          <w:numId w:val="1"/>
        </w:numPr>
        <w:rPr>
          <w:rFonts w:ascii="Century Gothic" w:hAnsi="Century Gothic"/>
          <w:sz w:val="32"/>
          <w:szCs w:val="32"/>
        </w:rPr>
      </w:pPr>
      <w:r w:rsidRPr="00C15C62">
        <w:rPr>
          <w:rFonts w:ascii="Century Gothic" w:hAnsi="Century Gothic"/>
          <w:sz w:val="32"/>
          <w:szCs w:val="32"/>
        </w:rPr>
        <w:t>occupazione</w:t>
      </w:r>
    </w:p>
    <w:p w14:paraId="74A83EC2" w14:textId="77777777" w:rsidR="00A66E46" w:rsidRPr="00C15C62" w:rsidRDefault="00A66E46" w:rsidP="00C15C62">
      <w:pPr>
        <w:pStyle w:val="Paragrafoelenco"/>
        <w:numPr>
          <w:ilvl w:val="0"/>
          <w:numId w:val="1"/>
        </w:numPr>
        <w:rPr>
          <w:rFonts w:ascii="Century Gothic" w:hAnsi="Century Gothic"/>
          <w:sz w:val="32"/>
          <w:szCs w:val="32"/>
        </w:rPr>
      </w:pPr>
      <w:r w:rsidRPr="00C15C62">
        <w:rPr>
          <w:rFonts w:ascii="Century Gothic" w:hAnsi="Century Gothic"/>
          <w:sz w:val="32"/>
          <w:szCs w:val="32"/>
        </w:rPr>
        <w:t>abitazioni</w:t>
      </w:r>
    </w:p>
    <w:p w14:paraId="757C9109" w14:textId="77777777" w:rsidR="00A66E46" w:rsidRPr="00C15C62" w:rsidRDefault="00A66E46" w:rsidP="00C15C62">
      <w:pPr>
        <w:pStyle w:val="Paragrafoelenco"/>
        <w:numPr>
          <w:ilvl w:val="0"/>
          <w:numId w:val="1"/>
        </w:numPr>
        <w:rPr>
          <w:rFonts w:ascii="Century Gothic" w:hAnsi="Century Gothic"/>
          <w:sz w:val="32"/>
          <w:szCs w:val="32"/>
        </w:rPr>
      </w:pPr>
      <w:r w:rsidRPr="00C15C62">
        <w:rPr>
          <w:rFonts w:ascii="Century Gothic" w:hAnsi="Century Gothic"/>
          <w:sz w:val="32"/>
          <w:szCs w:val="32"/>
        </w:rPr>
        <w:t>trasporti</w:t>
      </w:r>
    </w:p>
    <w:p w14:paraId="71279296" w14:textId="2152706F" w:rsidR="00A66E46" w:rsidRPr="00C15C62" w:rsidRDefault="00A66E46" w:rsidP="00A66E46">
      <w:pPr>
        <w:rPr>
          <w:rFonts w:ascii="Century Gothic" w:hAnsi="Century Gothic"/>
          <w:sz w:val="32"/>
          <w:szCs w:val="32"/>
        </w:rPr>
      </w:pPr>
      <w:r w:rsidRPr="00C15C62">
        <w:rPr>
          <w:rFonts w:ascii="Century Gothic" w:hAnsi="Century Gothic"/>
          <w:sz w:val="32"/>
          <w:szCs w:val="32"/>
        </w:rPr>
        <w:t>Rispondere al questionario è un obbligo di legge, ma soprattutto un gesto utile a</w:t>
      </w:r>
      <w:r w:rsidR="00C15C62">
        <w:rPr>
          <w:rFonts w:ascii="Century Gothic" w:hAnsi="Century Gothic"/>
          <w:sz w:val="32"/>
          <w:szCs w:val="32"/>
        </w:rPr>
        <w:t xml:space="preserve"> </w:t>
      </w:r>
      <w:r w:rsidRPr="00C15C62">
        <w:rPr>
          <w:rFonts w:ascii="Century Gothic" w:hAnsi="Century Gothic"/>
          <w:sz w:val="32"/>
          <w:szCs w:val="32"/>
        </w:rPr>
        <w:t>tutta la comunità.</w:t>
      </w:r>
    </w:p>
    <w:p w14:paraId="6A422872" w14:textId="07169920" w:rsidR="00C15C62" w:rsidRDefault="00A66E46" w:rsidP="00C15C62">
      <w:pPr>
        <w:jc w:val="center"/>
        <w:rPr>
          <w:rFonts w:ascii="Century Gothic" w:hAnsi="Century Gothic"/>
          <w:sz w:val="32"/>
          <w:szCs w:val="32"/>
        </w:rPr>
      </w:pPr>
      <w:r w:rsidRPr="00C15C62">
        <w:rPr>
          <w:rFonts w:ascii="Century Gothic" w:hAnsi="Century Gothic"/>
          <w:sz w:val="32"/>
          <w:szCs w:val="32"/>
        </w:rPr>
        <w:t>Segna la data in calendario:</w:t>
      </w:r>
    </w:p>
    <w:p w14:paraId="162F7C15" w14:textId="72B0232B" w:rsidR="00A66E46" w:rsidRPr="00C15C62" w:rsidRDefault="00A66E46" w:rsidP="00C15C62">
      <w:pPr>
        <w:jc w:val="center"/>
        <w:rPr>
          <w:rFonts w:ascii="Century Gothic" w:hAnsi="Century Gothic"/>
          <w:sz w:val="32"/>
          <w:szCs w:val="32"/>
        </w:rPr>
      </w:pPr>
      <w:r w:rsidRPr="00C15C62">
        <w:rPr>
          <w:rFonts w:ascii="Century Gothic" w:hAnsi="Century Gothic"/>
          <w:sz w:val="32"/>
          <w:szCs w:val="32"/>
        </w:rPr>
        <w:t>dal 5 ottobre al 23 dicembre 2026.</w:t>
      </w:r>
    </w:p>
    <w:p w14:paraId="6F55227C" w14:textId="77777777" w:rsidR="00C15C62" w:rsidRDefault="00C15C62" w:rsidP="00A66E46">
      <w:pPr>
        <w:rPr>
          <w:rFonts w:ascii="Century Gothic" w:hAnsi="Century Gothic"/>
          <w:sz w:val="32"/>
          <w:szCs w:val="32"/>
        </w:rPr>
      </w:pPr>
    </w:p>
    <w:p w14:paraId="36B7E136" w14:textId="08FD0FD5" w:rsidR="00A66E46" w:rsidRPr="00C15C62" w:rsidRDefault="00A66E46" w:rsidP="00A66E46">
      <w:pPr>
        <w:rPr>
          <w:rFonts w:ascii="Century Gothic" w:hAnsi="Century Gothic"/>
          <w:sz w:val="32"/>
          <w:szCs w:val="32"/>
        </w:rPr>
      </w:pPr>
      <w:r w:rsidRPr="00C15C62">
        <w:rPr>
          <w:rFonts w:ascii="Century Gothic" w:hAnsi="Century Gothic"/>
          <w:sz w:val="32"/>
          <w:szCs w:val="32"/>
        </w:rPr>
        <w:t>#Istat #Censimento2026 #CensimentiPermanenti</w:t>
      </w:r>
    </w:p>
    <w:p w14:paraId="1F4ABF17" w14:textId="47479535" w:rsidR="00A66E46" w:rsidRDefault="00A66E46" w:rsidP="00A66E46">
      <w:pPr>
        <w:rPr>
          <w:rFonts w:ascii="Century Gothic" w:hAnsi="Century Gothic"/>
          <w:sz w:val="32"/>
          <w:szCs w:val="32"/>
        </w:rPr>
      </w:pPr>
      <w:r w:rsidRPr="00C15C62">
        <w:rPr>
          <w:rFonts w:ascii="Century Gothic" w:hAnsi="Century Gothic"/>
          <w:sz w:val="32"/>
          <w:szCs w:val="32"/>
        </w:rPr>
        <w:t>#CensimentoPermanentePopolazioneAbitazioni</w:t>
      </w:r>
    </w:p>
    <w:p w14:paraId="2D88E8E4" w14:textId="77777777" w:rsidR="00BA0479" w:rsidRDefault="00BA0479" w:rsidP="00A66E46">
      <w:pPr>
        <w:rPr>
          <w:rFonts w:ascii="Century Gothic" w:hAnsi="Century Gothic"/>
          <w:sz w:val="32"/>
          <w:szCs w:val="32"/>
        </w:rPr>
      </w:pPr>
    </w:p>
    <w:p w14:paraId="2FE3CB4F" w14:textId="4CFC24B6" w:rsidR="00BA0479" w:rsidRDefault="00BA0479" w:rsidP="00A66E46">
      <w:pPr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Link utile:</w:t>
      </w:r>
    </w:p>
    <w:p w14:paraId="3A412DC7" w14:textId="5265A777" w:rsidR="00BA0479" w:rsidRDefault="00BA0479" w:rsidP="00A66E46">
      <w:pPr>
        <w:rPr>
          <w:rFonts w:ascii="Century Gothic" w:hAnsi="Century Gothic"/>
          <w:sz w:val="32"/>
          <w:szCs w:val="32"/>
        </w:rPr>
      </w:pPr>
      <w:hyperlink r:id="rId5" w:history="1">
        <w:r w:rsidRPr="00173ACD">
          <w:rPr>
            <w:rStyle w:val="Collegamentoipertestuale"/>
            <w:rFonts w:ascii="Century Gothic" w:hAnsi="Century Gothic"/>
            <w:sz w:val="32"/>
            <w:szCs w:val="32"/>
          </w:rPr>
          <w:t>https://www.istat.it/statistiche-per-temi/censimenti/popolazione-e-abitazioni/</w:t>
        </w:r>
      </w:hyperlink>
    </w:p>
    <w:p w14:paraId="4488C7D5" w14:textId="77777777" w:rsidR="00BA0479" w:rsidRDefault="00BA0479" w:rsidP="00A66E46">
      <w:pPr>
        <w:rPr>
          <w:rFonts w:ascii="Century Gothic" w:hAnsi="Century Gothic"/>
          <w:sz w:val="32"/>
          <w:szCs w:val="32"/>
        </w:rPr>
      </w:pPr>
    </w:p>
    <w:sectPr w:rsidR="00BA04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C44FE"/>
    <w:multiLevelType w:val="hybridMultilevel"/>
    <w:tmpl w:val="0722F6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551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E46"/>
    <w:rsid w:val="0059070C"/>
    <w:rsid w:val="00A66E46"/>
    <w:rsid w:val="00B46EFB"/>
    <w:rsid w:val="00BA0479"/>
    <w:rsid w:val="00C15C62"/>
    <w:rsid w:val="00F0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E417"/>
  <w15:chartTrackingRefBased/>
  <w15:docId w15:val="{1757BF55-E582-4B38-BE6E-E1D7456C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66E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66E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66E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66E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66E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6E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66E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66E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66E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6E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66E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66E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66E4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66E4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6E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66E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66E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66E4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66E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66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66E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66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66E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66E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66E4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66E4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66E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66E4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66E46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15C6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04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stat.it/statistiche-per-temi/censimenti/popolazione-e-abitazion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RAIMONDI COMINESI</dc:creator>
  <cp:keywords/>
  <dc:description/>
  <cp:lastModifiedBy>RENATA RAIMONDI COMINESI</cp:lastModifiedBy>
  <cp:revision>3</cp:revision>
  <cp:lastPrinted>2026-09-18T10:02:00Z</cp:lastPrinted>
  <dcterms:created xsi:type="dcterms:W3CDTF">2026-09-18T09:11:00Z</dcterms:created>
  <dcterms:modified xsi:type="dcterms:W3CDTF">2026-09-25T06:47:00Z</dcterms:modified>
</cp:coreProperties>
</file>